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BA043" w14:textId="77777777" w:rsidR="00C47405" w:rsidRDefault="00C47405" w:rsidP="006F1D72">
      <w:pPr>
        <w:pStyle w:val="HeaderL1ProximaNovaBold2224Headings"/>
        <w:suppressAutoHyphens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4C45E41" wp14:editId="1C60B6B6">
            <wp:extent cx="91440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00314A" w14:textId="77777777" w:rsidR="006F1D72" w:rsidRDefault="003B0370" w:rsidP="006F1D72">
      <w:pPr>
        <w:pStyle w:val="HeaderL1ProximaNovaBold2224Headings"/>
        <w:suppressAutoHyphen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Evaluation p</w:t>
      </w:r>
      <w:r w:rsidR="00D11200" w:rsidRPr="00D11200">
        <w:rPr>
          <w:rFonts w:ascii="Arial" w:hAnsi="Arial" w:cs="Arial"/>
          <w:lang w:val="en-US"/>
        </w:rPr>
        <w:t>lan</w:t>
      </w:r>
    </w:p>
    <w:p w14:paraId="596F9C9A" w14:textId="77777777" w:rsidR="006F1D72" w:rsidRDefault="006F1D72" w:rsidP="006F1D72">
      <w:pPr>
        <w:pStyle w:val="HeaderL1ProximaNovaBold2224Headings"/>
        <w:suppressAutoHyphens/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en-US"/>
        </w:rPr>
      </w:pPr>
    </w:p>
    <w:p w14:paraId="29D7AD0B" w14:textId="77777777" w:rsidR="00D11200" w:rsidRPr="003B0370" w:rsidRDefault="00D11200" w:rsidP="006F1D72">
      <w:pPr>
        <w:pStyle w:val="HeaderL1ProximaNovaBold2224Headings"/>
        <w:suppressAutoHyphens/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Use the table below to record the outcomes </w:t>
      </w:r>
      <w:r w:rsidR="003B0370">
        <w:rPr>
          <w:rFonts w:ascii="Arial" w:hAnsi="Arial" w:cs="Arial"/>
          <w:b w:val="0"/>
          <w:color w:val="auto"/>
          <w:sz w:val="20"/>
          <w:szCs w:val="20"/>
          <w:lang w:val="en-US"/>
        </w:rPr>
        <w:t>from your Theory of Change that you have decided to target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. </w:t>
      </w:r>
      <w:r w:rsidR="003B0370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Match these to outcomes from </w:t>
      </w:r>
      <w:r w:rsidR="00C47405">
        <w:rPr>
          <w:rFonts w:ascii="Arial" w:hAnsi="Arial" w:cs="Arial"/>
          <w:b w:val="0"/>
          <w:color w:val="auto"/>
          <w:sz w:val="20"/>
          <w:szCs w:val="20"/>
          <w:lang w:val="en-US"/>
        </w:rPr>
        <w:t>the</w:t>
      </w:r>
      <w:r w:rsidR="003B0370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Financial Capability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="00C47405">
        <w:rPr>
          <w:rFonts w:ascii="Arial" w:hAnsi="Arial" w:cs="Arial"/>
          <w:b w:val="0"/>
          <w:color w:val="auto"/>
          <w:sz w:val="20"/>
          <w:szCs w:val="20"/>
          <w:lang w:val="en-US"/>
        </w:rPr>
        <w:t>O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>ut</w:t>
      </w:r>
      <w:r w:rsidR="009351FB">
        <w:rPr>
          <w:rFonts w:ascii="Arial" w:hAnsi="Arial" w:cs="Arial"/>
          <w:b w:val="0"/>
          <w:color w:val="auto"/>
          <w:sz w:val="20"/>
          <w:szCs w:val="20"/>
          <w:lang w:val="en-US"/>
        </w:rPr>
        <w:t>c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omes </w:t>
      </w:r>
      <w:r w:rsidR="00C47405">
        <w:rPr>
          <w:rFonts w:ascii="Arial" w:hAnsi="Arial" w:cs="Arial"/>
          <w:b w:val="0"/>
          <w:color w:val="auto"/>
          <w:sz w:val="20"/>
          <w:szCs w:val="20"/>
          <w:lang w:val="en-US"/>
        </w:rPr>
        <w:t>F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>ramework</w:t>
      </w:r>
      <w:r w:rsidR="003B0370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that is relevant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for your beneficiaries</w:t>
      </w:r>
      <w:r w:rsidR="003B0370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and r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>ecord these</w:t>
      </w:r>
      <w:r w:rsidR="003B0370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>in the second column. Then you can</w:t>
      </w:r>
      <w:r w:rsidR="003B0370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use the Question Banks to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add indicators</w:t>
      </w:r>
      <w:r w:rsidR="003B0370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to the third column,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</w:t>
      </w:r>
      <w:r w:rsidR="003B0370">
        <w:rPr>
          <w:rFonts w:ascii="Arial" w:hAnsi="Arial" w:cs="Arial"/>
          <w:b w:val="0"/>
          <w:color w:val="auto"/>
          <w:sz w:val="20"/>
          <w:szCs w:val="20"/>
          <w:lang w:val="en-US"/>
        </w:rPr>
        <w:t>and survey questions to the fourth column (in which you can also a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dd </w:t>
      </w:r>
      <w:r w:rsidR="003B0370">
        <w:rPr>
          <w:rFonts w:ascii="Arial" w:hAnsi="Arial" w:cs="Arial"/>
          <w:b w:val="0"/>
          <w:color w:val="auto"/>
          <w:sz w:val="20"/>
          <w:szCs w:val="20"/>
          <w:lang w:val="en-US"/>
        </w:rPr>
        <w:t>any data sources that are not in the Question Banks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, such as interviews or </w:t>
      </w:r>
      <w:proofErr w:type="spellStart"/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>programme</w:t>
      </w:r>
      <w:proofErr w:type="spellEnd"/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 management information</w:t>
      </w:r>
      <w:r w:rsidR="003B0370">
        <w:rPr>
          <w:rFonts w:ascii="Arial" w:hAnsi="Arial" w:cs="Arial"/>
          <w:b w:val="0"/>
          <w:color w:val="auto"/>
          <w:sz w:val="20"/>
          <w:szCs w:val="20"/>
          <w:lang w:val="en-US"/>
        </w:rPr>
        <w:t>)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. In the final column you may find it helpful to note which activities of your programme you </w:t>
      </w:r>
      <w:r w:rsidR="009351FB">
        <w:rPr>
          <w:rFonts w:ascii="Arial" w:hAnsi="Arial" w:cs="Arial"/>
          <w:b w:val="0"/>
          <w:color w:val="auto"/>
          <w:sz w:val="20"/>
          <w:szCs w:val="20"/>
          <w:lang w:val="en-US"/>
        </w:rPr>
        <w:t xml:space="preserve">think will help to bring about each particular </w:t>
      </w:r>
      <w:r w:rsidR="00FD2BDD">
        <w:rPr>
          <w:rFonts w:ascii="Arial" w:hAnsi="Arial" w:cs="Arial"/>
          <w:b w:val="0"/>
          <w:color w:val="auto"/>
          <w:sz w:val="20"/>
          <w:szCs w:val="20"/>
          <w:lang w:val="en-US"/>
        </w:rPr>
        <w:t>outcome.</w:t>
      </w:r>
    </w:p>
    <w:p w14:paraId="52164474" w14:textId="77777777" w:rsidR="007C3B1E" w:rsidRDefault="007C3B1E" w:rsidP="006F1D72">
      <w:pPr>
        <w:pStyle w:val="HeaderL1ProximaNovaBold2224Headings"/>
        <w:suppressAutoHyphens/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en-US"/>
        </w:rPr>
        <w:sectPr w:rsidR="007C3B1E" w:rsidSect="006F1D72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4-Accent6"/>
        <w:tblpPr w:leftFromText="180" w:rightFromText="180" w:vertAnchor="page" w:horzAnchor="margin" w:tblpY="4771"/>
        <w:tblW w:w="13948" w:type="dxa"/>
        <w:tblLook w:val="04A0" w:firstRow="1" w:lastRow="0" w:firstColumn="1" w:lastColumn="0" w:noHBand="0" w:noVBand="1"/>
      </w:tblPr>
      <w:tblGrid>
        <w:gridCol w:w="1698"/>
        <w:gridCol w:w="1676"/>
        <w:gridCol w:w="1831"/>
        <w:gridCol w:w="1689"/>
        <w:gridCol w:w="1827"/>
        <w:gridCol w:w="1886"/>
        <w:gridCol w:w="1720"/>
        <w:gridCol w:w="1621"/>
      </w:tblGrid>
      <w:tr w:rsidR="003B0370" w:rsidRPr="002B6A20" w14:paraId="05EF83EF" w14:textId="77777777" w:rsidTr="003B0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005E6E"/>
            <w:vAlign w:val="center"/>
          </w:tcPr>
          <w:p w14:paraId="3B4CFE97" w14:textId="77777777" w:rsidR="003B0370" w:rsidRPr="006B1682" w:rsidRDefault="003B0370" w:rsidP="003B0370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2B6A20">
              <w:rPr>
                <w:rFonts w:ascii="Arial" w:hAnsi="Arial" w:cs="Arial"/>
              </w:rPr>
              <w:t>Theory of Change Outcome</w:t>
            </w:r>
          </w:p>
        </w:tc>
        <w:tc>
          <w:tcPr>
            <w:tcW w:w="1676" w:type="dxa"/>
            <w:shd w:val="clear" w:color="auto" w:fill="005E6E"/>
            <w:vAlign w:val="center"/>
          </w:tcPr>
          <w:p w14:paraId="13CFC8A4" w14:textId="77777777" w:rsidR="003B0370" w:rsidRPr="002B6A20" w:rsidRDefault="003B0370" w:rsidP="003B0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6A20">
              <w:rPr>
                <w:rFonts w:ascii="Arial" w:hAnsi="Arial" w:cs="Arial"/>
              </w:rPr>
              <w:t>MAS Outcomes framework outcome</w:t>
            </w:r>
          </w:p>
        </w:tc>
        <w:tc>
          <w:tcPr>
            <w:tcW w:w="1831" w:type="dxa"/>
            <w:shd w:val="clear" w:color="auto" w:fill="005E6E"/>
            <w:vAlign w:val="center"/>
          </w:tcPr>
          <w:p w14:paraId="2550F0A1" w14:textId="77777777" w:rsidR="003B0370" w:rsidRPr="006B1682" w:rsidRDefault="003B0370" w:rsidP="003B0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B6A20">
              <w:rPr>
                <w:rFonts w:ascii="Arial" w:hAnsi="Arial" w:cs="Arial"/>
              </w:rPr>
              <w:t>Indicator(s)</w:t>
            </w:r>
          </w:p>
        </w:tc>
        <w:tc>
          <w:tcPr>
            <w:tcW w:w="1689" w:type="dxa"/>
            <w:shd w:val="clear" w:color="auto" w:fill="005E6E"/>
            <w:vAlign w:val="center"/>
          </w:tcPr>
          <w:p w14:paraId="2D2C1B0B" w14:textId="77777777" w:rsidR="003B0370" w:rsidRPr="002B6A20" w:rsidRDefault="003B0370" w:rsidP="003B0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6A20">
              <w:rPr>
                <w:rFonts w:ascii="Arial" w:hAnsi="Arial" w:cs="Arial"/>
              </w:rPr>
              <w:t>Data source(s)</w:t>
            </w:r>
            <w:r>
              <w:rPr>
                <w:rFonts w:ascii="Arial" w:hAnsi="Arial" w:cs="Arial"/>
              </w:rPr>
              <w:t xml:space="preserve"> &amp; frequency of data collection</w:t>
            </w:r>
          </w:p>
        </w:tc>
        <w:tc>
          <w:tcPr>
            <w:tcW w:w="1827" w:type="dxa"/>
            <w:shd w:val="clear" w:color="auto" w:fill="005E6E"/>
            <w:vAlign w:val="center"/>
          </w:tcPr>
          <w:p w14:paraId="10164493" w14:textId="77777777" w:rsidR="003B0370" w:rsidRPr="002B6A20" w:rsidRDefault="003B0370" w:rsidP="003B0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6A20">
              <w:rPr>
                <w:rFonts w:ascii="Arial" w:hAnsi="Arial" w:cs="Arial"/>
              </w:rPr>
              <w:t>Related activities</w:t>
            </w:r>
          </w:p>
        </w:tc>
        <w:tc>
          <w:tcPr>
            <w:tcW w:w="1886" w:type="dxa"/>
            <w:shd w:val="clear" w:color="auto" w:fill="005E6E"/>
            <w:vAlign w:val="center"/>
          </w:tcPr>
          <w:p w14:paraId="41516B22" w14:textId="77777777" w:rsidR="003B0370" w:rsidRPr="002B6A20" w:rsidRDefault="003B0370" w:rsidP="003B0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(how many individuals you will collect data from)</w:t>
            </w:r>
          </w:p>
        </w:tc>
        <w:tc>
          <w:tcPr>
            <w:tcW w:w="1720" w:type="dxa"/>
            <w:shd w:val="clear" w:color="auto" w:fill="005E6E"/>
            <w:vAlign w:val="center"/>
          </w:tcPr>
          <w:p w14:paraId="6B87C5E0" w14:textId="77777777" w:rsidR="003B0370" w:rsidRPr="002B6A20" w:rsidRDefault="003B0370" w:rsidP="003B0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 (who will collect this data)</w:t>
            </w:r>
          </w:p>
        </w:tc>
        <w:tc>
          <w:tcPr>
            <w:tcW w:w="1621" w:type="dxa"/>
            <w:shd w:val="clear" w:color="auto" w:fill="005E6E"/>
            <w:vAlign w:val="center"/>
          </w:tcPr>
          <w:p w14:paraId="52BF0A00" w14:textId="77777777" w:rsidR="003B0370" w:rsidRPr="002B6A20" w:rsidRDefault="003B0370" w:rsidP="003B03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collection &amp; analysis process</w:t>
            </w:r>
          </w:p>
        </w:tc>
      </w:tr>
      <w:tr w:rsidR="003B0370" w:rsidRPr="002B6A20" w14:paraId="1C828CC4" w14:textId="77777777" w:rsidTr="003B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0A52ACF" w14:textId="77777777" w:rsidR="003B0370" w:rsidRPr="003B0370" w:rsidRDefault="003B0370" w:rsidP="003B0370">
            <w:pPr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3B037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e.g. Children put money into savings regularly</w:t>
            </w:r>
          </w:p>
        </w:tc>
        <w:tc>
          <w:tcPr>
            <w:tcW w:w="1676" w:type="dxa"/>
          </w:tcPr>
          <w:p w14:paraId="6B682FDF" w14:textId="77777777" w:rsidR="003B0370" w:rsidRPr="003B037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3B037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Managing your money well day-to-day</w:t>
            </w:r>
          </w:p>
        </w:tc>
        <w:tc>
          <w:tcPr>
            <w:tcW w:w="1831" w:type="dxa"/>
          </w:tcPr>
          <w:p w14:paraId="170174B3" w14:textId="77777777" w:rsidR="003B0370" w:rsidRPr="003B037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3B037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Children have money saved up</w:t>
            </w:r>
          </w:p>
        </w:tc>
        <w:tc>
          <w:tcPr>
            <w:tcW w:w="1689" w:type="dxa"/>
          </w:tcPr>
          <w:p w14:paraId="2DE6C614" w14:textId="77777777" w:rsidR="003B0370" w:rsidRPr="003B037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3B037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Pre- and post- evaluation survey (Q3)</w:t>
            </w:r>
          </w:p>
        </w:tc>
        <w:tc>
          <w:tcPr>
            <w:tcW w:w="1827" w:type="dxa"/>
          </w:tcPr>
          <w:p w14:paraId="0949B8F2" w14:textId="77777777" w:rsidR="003B0370" w:rsidRPr="003B037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3B037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Classroom lessons on banks and saving</w:t>
            </w:r>
          </w:p>
          <w:p w14:paraId="6C48E0EC" w14:textId="77777777" w:rsidR="003B0370" w:rsidRPr="003B037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</w:p>
          <w:p w14:paraId="42E9A2BD" w14:textId="77777777" w:rsidR="003B0370" w:rsidRPr="003B037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</w:pPr>
            <w:r w:rsidRPr="003B0370">
              <w:rPr>
                <w:rFonts w:ascii="Arial" w:hAnsi="Arial" w:cs="Arial"/>
                <w:i/>
                <w:color w:val="A6A6A6" w:themeColor="background1" w:themeShade="A6"/>
                <w:sz w:val="16"/>
                <w:szCs w:val="16"/>
              </w:rPr>
              <w:t>Info leaflets for parents</w:t>
            </w:r>
          </w:p>
        </w:tc>
        <w:tc>
          <w:tcPr>
            <w:tcW w:w="1886" w:type="dxa"/>
          </w:tcPr>
          <w:p w14:paraId="181500CF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720" w:type="dxa"/>
          </w:tcPr>
          <w:p w14:paraId="78CCB7FF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1621" w:type="dxa"/>
          </w:tcPr>
          <w:p w14:paraId="60BBB7AF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3B0370" w:rsidRPr="002B6A20" w14:paraId="29049928" w14:textId="77777777" w:rsidTr="003B037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75F0D06" w14:textId="77777777" w:rsidR="003B0370" w:rsidRPr="002B6A20" w:rsidRDefault="003B0370" w:rsidP="003B0370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74838681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74CBEF35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4EA4B745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2017A504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462240DA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2B1EC017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55BC047A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0370" w:rsidRPr="002B6A20" w14:paraId="1F8C9D04" w14:textId="77777777" w:rsidTr="003B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0746F65" w14:textId="77777777" w:rsidR="003B0370" w:rsidRPr="002B6A20" w:rsidRDefault="003B0370" w:rsidP="003B0370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7DE243B0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6C4BBA82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303F0BEE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7DB9894A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51D4E84C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6FE094BB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15B6C412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0370" w:rsidRPr="002B6A20" w14:paraId="2BD37BAC" w14:textId="77777777" w:rsidTr="003B037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707057F3" w14:textId="77777777" w:rsidR="003B0370" w:rsidRPr="002B6A20" w:rsidRDefault="003B0370" w:rsidP="003B0370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20EAF9A5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7177E5DC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1FBA2E99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449A58DB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704FA904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3B13E807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05B92BD7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0370" w:rsidRPr="002B6A20" w14:paraId="490E0B28" w14:textId="77777777" w:rsidTr="003B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B3C4189" w14:textId="77777777" w:rsidR="003B0370" w:rsidRPr="002B6A20" w:rsidRDefault="003B0370" w:rsidP="003B0370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01AB0CA0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1A100050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72E8BAA7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654D9559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6C675AC2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5411C61A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48E9B693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0370" w:rsidRPr="002B6A20" w14:paraId="232EC58B" w14:textId="77777777" w:rsidTr="003B037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3ACECAA2" w14:textId="77777777" w:rsidR="003B0370" w:rsidRPr="002B6A20" w:rsidRDefault="003B0370" w:rsidP="003B0370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2A407F2C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75B780E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5B1965FC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786A5786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22ACADDC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5596A644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0F755446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0370" w:rsidRPr="002B6A20" w14:paraId="4BE9BB7F" w14:textId="77777777" w:rsidTr="003B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45D1D3E" w14:textId="77777777" w:rsidR="003B0370" w:rsidRPr="002B6A20" w:rsidRDefault="003B0370" w:rsidP="003B0370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1337B2C3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AD19125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34BA1C06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62D1D504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26E5D531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5A30915D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14459174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0370" w:rsidRPr="002B6A20" w14:paraId="3D894AA9" w14:textId="77777777" w:rsidTr="003B037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60CAE55B" w14:textId="77777777" w:rsidR="003B0370" w:rsidRPr="002B6A20" w:rsidRDefault="003B0370" w:rsidP="003B0370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62CDB550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08B1B56D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2489D7A3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5722552A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5B2A1B00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795ABAAB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28B83300" w14:textId="77777777" w:rsidR="003B0370" w:rsidRPr="002B6A20" w:rsidRDefault="003B0370" w:rsidP="003B0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0370" w:rsidRPr="002B6A20" w14:paraId="62388415" w14:textId="77777777" w:rsidTr="003B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14:paraId="5702100F" w14:textId="77777777" w:rsidR="003B0370" w:rsidRPr="002B6A20" w:rsidRDefault="003B0370" w:rsidP="003B0370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052EE10D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727C5BC7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14:paraId="27D9DA01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27" w:type="dxa"/>
          </w:tcPr>
          <w:p w14:paraId="6B8D23D0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6" w:type="dxa"/>
          </w:tcPr>
          <w:p w14:paraId="20A3DF65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14:paraId="49BDF0D8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16CD6F6E" w14:textId="77777777" w:rsidR="003B0370" w:rsidRPr="002B6A20" w:rsidRDefault="003B0370" w:rsidP="003B0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D301184" w14:textId="77777777" w:rsidR="009351FB" w:rsidRPr="00D11200" w:rsidRDefault="009351FB" w:rsidP="006F1D72">
      <w:pPr>
        <w:pStyle w:val="HeaderL1ProximaNovaBold2224Headings"/>
        <w:suppressAutoHyphens/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en-US"/>
        </w:rPr>
      </w:pPr>
    </w:p>
    <w:p w14:paraId="281CC068" w14:textId="77777777" w:rsidR="00663B4D" w:rsidRDefault="00663B4D" w:rsidP="003B0370">
      <w:pPr>
        <w:pStyle w:val="HeaderL1ProximaNovaBold2224Headings"/>
        <w:suppressAutoHyphens/>
        <w:spacing w:line="240" w:lineRule="auto"/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</w:pPr>
    </w:p>
    <w:p w14:paraId="720E2C3F" w14:textId="77777777" w:rsidR="00D11200" w:rsidRPr="003B0370" w:rsidRDefault="003B0370" w:rsidP="003B0370">
      <w:pPr>
        <w:pStyle w:val="HeaderL1ProximaNovaBold2224Headings"/>
        <w:suppressAutoHyphens/>
        <w:spacing w:line="240" w:lineRule="auto"/>
        <w:rPr>
          <w:rFonts w:ascii="Arial" w:hAnsi="Arial" w:cs="Arial"/>
          <w:i/>
          <w:lang w:val="en-US"/>
        </w:rPr>
      </w:pPr>
      <w:proofErr w:type="spellStart"/>
      <w:r w:rsidRPr="003B0370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n.b.</w:t>
      </w:r>
      <w:proofErr w:type="spellEnd"/>
      <w:r w:rsidRPr="003B0370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the text in the first row is for illustrative purposes only</w:t>
      </w:r>
    </w:p>
    <w:sectPr w:rsidR="00D11200" w:rsidRPr="003B0370" w:rsidSect="007C3B1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C1F75" w14:textId="77777777" w:rsidR="00570FC6" w:rsidRDefault="00570FC6" w:rsidP="00D11200">
      <w:pPr>
        <w:spacing w:after="0" w:line="240" w:lineRule="auto"/>
      </w:pPr>
      <w:r>
        <w:separator/>
      </w:r>
    </w:p>
  </w:endnote>
  <w:endnote w:type="continuationSeparator" w:id="0">
    <w:p w14:paraId="7E7CC915" w14:textId="77777777" w:rsidR="00570FC6" w:rsidRDefault="00570FC6" w:rsidP="00D1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roximaNova-Bold">
    <w:altName w:val="Times New Roman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ACFB5" w14:textId="77777777" w:rsidR="00570FC6" w:rsidRDefault="00570FC6" w:rsidP="00D11200">
      <w:pPr>
        <w:spacing w:after="0" w:line="240" w:lineRule="auto"/>
      </w:pPr>
      <w:r>
        <w:separator/>
      </w:r>
    </w:p>
  </w:footnote>
  <w:footnote w:type="continuationSeparator" w:id="0">
    <w:p w14:paraId="4236A792" w14:textId="77777777" w:rsidR="00570FC6" w:rsidRDefault="00570FC6" w:rsidP="00D1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6801" w14:textId="4F777A39" w:rsidR="00D11200" w:rsidRDefault="00723FB4" w:rsidP="00241C16">
    <w:pPr>
      <w:pStyle w:val="Header"/>
      <w:ind w:left="10080"/>
    </w:pPr>
    <w:r>
      <w:t xml:space="preserve"> </w:t>
    </w:r>
    <w:r>
      <w:tab/>
    </w:r>
    <w:r>
      <w:tab/>
    </w:r>
    <w:r>
      <w:tab/>
    </w:r>
    <w:r>
      <w:tab/>
    </w:r>
    <w:r>
      <w:tab/>
      <w:t xml:space="preserve">   </w:t>
    </w:r>
    <w:r w:rsidR="00241C16">
      <w:tab/>
    </w:r>
    <w:r>
      <w:t xml:space="preserve">        </w:t>
    </w:r>
    <w:r w:rsidR="00241C16">
      <w:rPr>
        <w:noProof/>
        <w:lang w:eastAsia="en-GB"/>
      </w:rPr>
      <w:drawing>
        <wp:inline distT="0" distB="0" distL="0" distR="0" wp14:anchorId="685F6BDC" wp14:editId="2CED0020">
          <wp:extent cx="1537335" cy="60429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003_FinCap_Eng_Stacked_RGB_AW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894" cy="61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76"/>
    <w:rsid w:val="00163973"/>
    <w:rsid w:val="001E31DD"/>
    <w:rsid w:val="00241C16"/>
    <w:rsid w:val="002825E6"/>
    <w:rsid w:val="002B6A20"/>
    <w:rsid w:val="003B0370"/>
    <w:rsid w:val="00545022"/>
    <w:rsid w:val="00570FC6"/>
    <w:rsid w:val="00663B4D"/>
    <w:rsid w:val="006B1682"/>
    <w:rsid w:val="006F1D72"/>
    <w:rsid w:val="006F3979"/>
    <w:rsid w:val="00723FB4"/>
    <w:rsid w:val="007C3B1E"/>
    <w:rsid w:val="007F443A"/>
    <w:rsid w:val="0081322F"/>
    <w:rsid w:val="009351FB"/>
    <w:rsid w:val="009E5076"/>
    <w:rsid w:val="00AA2949"/>
    <w:rsid w:val="00C47405"/>
    <w:rsid w:val="00C63E67"/>
    <w:rsid w:val="00C66B49"/>
    <w:rsid w:val="00D11200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6710E"/>
  <w15:chartTrackingRefBased/>
  <w15:docId w15:val="{D3E241A6-7E3A-4105-8FAA-1E17BC24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2825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00"/>
  </w:style>
  <w:style w:type="paragraph" w:styleId="Footer">
    <w:name w:val="footer"/>
    <w:basedOn w:val="Normal"/>
    <w:link w:val="FooterChar"/>
    <w:uiPriority w:val="99"/>
    <w:unhideWhenUsed/>
    <w:rsid w:val="00D11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00"/>
  </w:style>
  <w:style w:type="paragraph" w:customStyle="1" w:styleId="HeaderL1ProximaNovaBold2224Headings">
    <w:name w:val="Header L1 Proxima Nova Bold 22/24 (Headings)"/>
    <w:basedOn w:val="Normal"/>
    <w:uiPriority w:val="99"/>
    <w:rsid w:val="00D11200"/>
    <w:pPr>
      <w:widowControl w:val="0"/>
      <w:autoSpaceDE w:val="0"/>
      <w:autoSpaceDN w:val="0"/>
      <w:adjustRightInd w:val="0"/>
      <w:spacing w:after="0" w:line="480" w:lineRule="atLeast"/>
      <w:textAlignment w:val="center"/>
    </w:pPr>
    <w:rPr>
      <w:rFonts w:ascii="ProximaNova-Bold" w:hAnsi="ProximaNova-Bold" w:cs="ProximaNova-Bold"/>
      <w:b/>
      <w:bCs/>
      <w:color w:val="00515B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 Advice Service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Graham</dc:creator>
  <cp:keywords/>
  <dc:description/>
  <cp:lastModifiedBy>Sabrina Kelly</cp:lastModifiedBy>
  <cp:revision>2</cp:revision>
  <cp:lastPrinted>2017-06-07T15:13:00Z</cp:lastPrinted>
  <dcterms:created xsi:type="dcterms:W3CDTF">2017-08-29T17:41:00Z</dcterms:created>
  <dcterms:modified xsi:type="dcterms:W3CDTF">2017-08-29T17:41:00Z</dcterms:modified>
</cp:coreProperties>
</file>